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0D" w:rsidRDefault="0038400D" w:rsidP="0038400D">
      <w:pPr>
        <w:pStyle w:val="a5"/>
        <w:ind w:firstLineChars="0" w:firstLine="0"/>
        <w:jc w:val="left"/>
        <w:rPr>
          <w:rFonts w:ascii="仿宋_GB2312" w:eastAsia="仿宋_GB2312" w:hAnsi="Verdana" w:hint="eastAsia"/>
          <w:color w:val="000000"/>
          <w:sz w:val="32"/>
          <w:szCs w:val="32"/>
          <w:shd w:val="clear" w:color="auto" w:fill="FFFFFF"/>
        </w:rPr>
      </w:pPr>
      <w:r>
        <w:rPr>
          <w:rFonts w:ascii="仿宋_GB2312" w:eastAsia="仿宋_GB2312" w:hAnsi="Verdana" w:hint="eastAsia"/>
          <w:color w:val="000000"/>
          <w:sz w:val="32"/>
          <w:szCs w:val="32"/>
          <w:shd w:val="clear" w:color="auto" w:fill="FFFFFF"/>
        </w:rPr>
        <w:t>附件：</w:t>
      </w:r>
    </w:p>
    <w:p w:rsidR="0038400D" w:rsidRDefault="0038400D" w:rsidP="0038400D">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2017年广州市普惠金融行业专场招聘会信息汇总表</w:t>
      </w:r>
    </w:p>
    <w:tbl>
      <w:tblPr>
        <w:tblW w:w="14884" w:type="dxa"/>
        <w:tblInd w:w="-34" w:type="dxa"/>
        <w:tblLook w:val="04A0" w:firstRow="1" w:lastRow="0" w:firstColumn="1" w:lastColumn="0" w:noHBand="0" w:noVBand="1"/>
      </w:tblPr>
      <w:tblGrid>
        <w:gridCol w:w="993"/>
        <w:gridCol w:w="4536"/>
        <w:gridCol w:w="6520"/>
        <w:gridCol w:w="1276"/>
        <w:gridCol w:w="1559"/>
      </w:tblGrid>
      <w:tr w:rsidR="0038400D" w:rsidTr="005226D2">
        <w:trPr>
          <w:trHeight w:val="439"/>
        </w:trPr>
        <w:tc>
          <w:tcPr>
            <w:tcW w:w="993" w:type="dxa"/>
            <w:tcBorders>
              <w:top w:val="single" w:sz="4" w:space="0" w:color="auto"/>
              <w:left w:val="single" w:sz="4" w:space="0" w:color="auto"/>
              <w:bottom w:val="single" w:sz="4" w:space="0" w:color="auto"/>
              <w:right w:val="single" w:sz="4" w:space="0" w:color="auto"/>
            </w:tcBorders>
            <w:noWrap/>
            <w:vAlign w:val="center"/>
            <w:hideMark/>
          </w:tcPr>
          <w:p w:rsidR="0038400D" w:rsidRDefault="0038400D" w:rsidP="005226D2">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4536" w:type="dxa"/>
            <w:tcBorders>
              <w:top w:val="single" w:sz="4" w:space="0" w:color="auto"/>
              <w:left w:val="nil"/>
              <w:bottom w:val="single" w:sz="4" w:space="0" w:color="auto"/>
              <w:right w:val="single" w:sz="4" w:space="0" w:color="auto"/>
            </w:tcBorders>
            <w:noWrap/>
            <w:vAlign w:val="center"/>
            <w:hideMark/>
          </w:tcPr>
          <w:p w:rsidR="0038400D" w:rsidRDefault="0038400D" w:rsidP="005226D2">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单位名称</w:t>
            </w:r>
          </w:p>
        </w:tc>
        <w:tc>
          <w:tcPr>
            <w:tcW w:w="6520" w:type="dxa"/>
            <w:tcBorders>
              <w:top w:val="single" w:sz="4" w:space="0" w:color="auto"/>
              <w:left w:val="nil"/>
              <w:bottom w:val="single" w:sz="4" w:space="0" w:color="auto"/>
              <w:right w:val="single" w:sz="4" w:space="0" w:color="auto"/>
            </w:tcBorders>
            <w:noWrap/>
            <w:vAlign w:val="center"/>
            <w:hideMark/>
          </w:tcPr>
          <w:p w:rsidR="0038400D" w:rsidRDefault="0038400D" w:rsidP="005226D2">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企业简介</w:t>
            </w:r>
          </w:p>
        </w:tc>
        <w:tc>
          <w:tcPr>
            <w:tcW w:w="1276" w:type="dxa"/>
            <w:tcBorders>
              <w:top w:val="single" w:sz="4" w:space="0" w:color="auto"/>
              <w:left w:val="nil"/>
              <w:bottom w:val="single" w:sz="4" w:space="0" w:color="auto"/>
              <w:right w:val="single" w:sz="4" w:space="0" w:color="auto"/>
            </w:tcBorders>
            <w:noWrap/>
            <w:vAlign w:val="center"/>
            <w:hideMark/>
          </w:tcPr>
          <w:p w:rsidR="0038400D" w:rsidRDefault="0038400D" w:rsidP="005226D2">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招聘人数</w:t>
            </w:r>
          </w:p>
        </w:tc>
        <w:tc>
          <w:tcPr>
            <w:tcW w:w="1559" w:type="dxa"/>
            <w:tcBorders>
              <w:top w:val="single" w:sz="4" w:space="0" w:color="auto"/>
              <w:left w:val="nil"/>
              <w:bottom w:val="single" w:sz="4" w:space="0" w:color="auto"/>
              <w:right w:val="single" w:sz="4" w:space="0" w:color="auto"/>
            </w:tcBorders>
            <w:noWrap/>
            <w:vAlign w:val="center"/>
            <w:hideMark/>
          </w:tcPr>
          <w:p w:rsidR="0038400D" w:rsidRDefault="0038400D" w:rsidP="005226D2">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招聘岗位（个）</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广东融盛投资管理股份有限公司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s="Arial"/>
                <w:color w:val="000000"/>
                <w:kern w:val="0"/>
                <w:szCs w:val="21"/>
              </w:rPr>
            </w:pPr>
            <w:r>
              <w:rPr>
                <w:rFonts w:ascii="宋体" w:hAnsi="宋体" w:cs="Arial" w:hint="eastAsia"/>
                <w:color w:val="000000"/>
                <w:kern w:val="0"/>
                <w:szCs w:val="21"/>
              </w:rPr>
              <w:t>融盛资本投资集团总部位于广州珠江新城金融中心，是以互联网方式提供个人金融服务的创新型企业。</w:t>
            </w:r>
          </w:p>
          <w:p w:rsidR="0038400D" w:rsidRDefault="0038400D" w:rsidP="005226D2">
            <w:pPr>
              <w:pStyle w:val="a7"/>
              <w:jc w:val="center"/>
              <w:rPr>
                <w:rFonts w:ascii="宋体" w:hAnsi="宋体"/>
                <w:color w:val="000000"/>
                <w:szCs w:val="21"/>
              </w:rPr>
            </w:pPr>
            <w:r>
              <w:rPr>
                <w:rFonts w:ascii="宋体" w:hAnsi="宋体" w:hint="eastAsia"/>
                <w:color w:val="000000"/>
                <w:szCs w:val="21"/>
              </w:rPr>
              <w:t>集团依托强大的股东群体、优秀的经营管理团队，业务布局逐步遍布全国。公司以“投行”发展模式，奉行“融慧聚贤、盛德善赢”发展理念，通过与国内外知名券商、银行、投行、信托、保险等专业金融机构的战略合作，打造综合性的金融服务平台，集资金、服务、人才与信息资源。为企业提供包括股权投资、融资担保、融资租赁、典当融资、企业并购、财务顾问、产权交易在内的“一站式、全方位、多元化”的金融服务，力争实现多方共赢。</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广州万惠投资管理有限公司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shd w:val="clear" w:color="auto" w:fill="FFFFFF"/>
              </w:rPr>
              <w:t>PPmoney理财是中国互联网金融行业中专注于消费金融的领导平台。平台于2012年12月正式上线，由PPmoney万惠集团（中国领先的普惠金融科技集团）旗下全资子公司运营。PPmoney理财借助云计算、移动支付和大数据等先进互联网技术，调剂投资者和融资者的资金融通，满足双方的投融资需求，最终实现多方共赢。</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广东新供销农业小额贷款股份有限公司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广东新供销农业小额贷款股份有限公司成立于2014年5月，注册资本达2.5亿元人民币，是广东省首家冠以“农业”字头的全省范围经营的小额贷款公司，是由广东省供销合作联社的全资企业广东粤合资产经营有限公司发起设立。公司紧紧围绕“立足三农，服务城乡；联合发展，共享利益”的经营理念，严格按照“守法规范，注重实际，安全高效，稳健发展”的发展策略开展业务。</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4</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平安信贷</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平安普惠金融业务集群（以下简称“平安普惠”）是中国平安保险（集团）有限公司旗下成员，专注于服务小微型企业和个人的消费金融需求。在中国个人消费贷款领域，平安普惠以创新的科技和卓越的客户体验助力中国实体经济发展。</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5</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5</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广州合富小额贷款有限公司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kern w:val="0"/>
                <w:szCs w:val="21"/>
              </w:rPr>
            </w:pPr>
            <w:r>
              <w:rPr>
                <w:rFonts w:ascii="宋体" w:hAnsi="宋体" w:cs="Arial" w:hint="eastAsia"/>
                <w:color w:val="000000"/>
                <w:szCs w:val="21"/>
                <w:shd w:val="clear" w:color="auto" w:fill="FFFFFF"/>
              </w:rPr>
              <w:t>广州合富小额贷款有限公司于2013年07月05日在广州市工商行政管理局登记成立。法定代表人扶伟聪，公司经营范围包括小额贷款业务（具体经营项目以金融管理部门核发批文为准）等。</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20</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5</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6</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广东慧融大数据科技股份有限公司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广东融盛资本投资集团旗下子公司之一，集团总部位于广州珠江新城CBD中心区。依托集团从事金融相关服务20年的经验，全力打造并负责运营集团旗下第三方互联网金融中介服务平台——一点通。平台目前专注于车辆抵押借款项目，是由集团旗下专业从事汽车抵押贷款的线下分公司负责提供，所有抵押车辆100%在车管所进行实名抵押登记，确保产品真实可靠。</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7</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广东广大分利宝网络科技有限公司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shd w:val="clear" w:color="auto" w:fill="FFFFFF"/>
              </w:rPr>
              <w:t>广东光大分利宝网络科技有限公司，是广州互联网金融协会副会长单位，册资本两亿元。光大分利宝定位为银行级风控的互联网理财平台，立足实体经济，践行普惠金融，专注“供应链金融+消费信贷”双轮驱动核心战略，深耕大消费领域，实现产业和互联网金融结合，致力为用户提供"安全性、高收益、流动性"三者兼具的理财投资体验。</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70</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8</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民加科风信息技术有限公司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s="Arial"/>
                <w:color w:val="000000"/>
                <w:kern w:val="0"/>
                <w:szCs w:val="21"/>
              </w:rPr>
            </w:pPr>
            <w:r>
              <w:rPr>
                <w:rFonts w:ascii="宋体" w:hAnsi="宋体" w:cs="Arial" w:hint="eastAsia"/>
                <w:color w:val="000000"/>
                <w:kern w:val="0"/>
                <w:szCs w:val="21"/>
              </w:rPr>
              <w:t>民贷天下是在广州市政府的支持下，由广州产业投资基金、中国民生银行旗下民生加银资产管理有限公司与九合金控投资有限公司倾力打造的互联网金融服务平台，公司注册资金1亿元人民币，且为实缴资本，是国内屈指可数的亿元级互联网金融公司。</w:t>
            </w:r>
          </w:p>
          <w:p w:rsidR="0038400D" w:rsidRDefault="0038400D" w:rsidP="005226D2">
            <w:pPr>
              <w:pStyle w:val="a7"/>
              <w:jc w:val="center"/>
              <w:rPr>
                <w:rFonts w:ascii="宋体" w:hAnsi="宋体" w:cs="Arial"/>
                <w:color w:val="000000"/>
                <w:kern w:val="0"/>
                <w:szCs w:val="21"/>
              </w:rPr>
            </w:pPr>
            <w:r>
              <w:rPr>
                <w:rFonts w:ascii="宋体" w:hAnsi="宋体" w:cs="Arial" w:hint="eastAsia"/>
                <w:color w:val="000000"/>
                <w:kern w:val="0"/>
                <w:szCs w:val="21"/>
              </w:rPr>
              <w:t>公司以国际先进的风险管理理念和数十年风控经验为基础，为广大机构、企业和合格投资者搭建一个专业可信、高效安全的投融资服务平台，为资金需求方与供应方提供包括信用咨询评估、融资方案制定、信息登记、交易撮合等居间中介服务，致力于通过持续不断的产品创</w:t>
            </w:r>
            <w:r>
              <w:rPr>
                <w:rFonts w:ascii="宋体" w:hAnsi="宋体" w:cs="Arial" w:hint="eastAsia"/>
                <w:color w:val="000000"/>
                <w:kern w:val="0"/>
                <w:szCs w:val="21"/>
              </w:rPr>
              <w:lastRenderedPageBreak/>
              <w:t>新和交易组织模式创新，打造一个国内领先并具有重要国际影响力的综合性互联网金融服务平台。</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9</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上海盈灿投资管理咨询有限公司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cs="Arial" w:hint="eastAsia"/>
                <w:color w:val="000000"/>
                <w:szCs w:val="21"/>
                <w:shd w:val="clear" w:color="auto" w:fill="FFFFFF"/>
              </w:rPr>
              <w:t>上海盈灿商务咨询有限公司（简称盈灿咨询），中国最专业、最权威的网络借贷行业咨询培训商，提供最专业的行业资讯。凭借对</w:t>
            </w:r>
            <w:hyperlink r:id="rId7" w:tgtFrame="_blank" w:history="1">
              <w:r>
                <w:rPr>
                  <w:rStyle w:val="a6"/>
                  <w:rFonts w:ascii="宋体" w:hAnsi="宋体" w:cs="Arial" w:hint="eastAsia"/>
                  <w:color w:val="000000"/>
                  <w:szCs w:val="21"/>
                  <w:shd w:val="clear" w:color="auto" w:fill="FFFFFF"/>
                </w:rPr>
                <w:t>P2P</w:t>
              </w:r>
            </w:hyperlink>
            <w:r>
              <w:rPr>
                <w:rFonts w:ascii="宋体" w:hAnsi="宋体" w:cs="Arial" w:hint="eastAsia"/>
                <w:color w:val="000000"/>
                <w:szCs w:val="21"/>
                <w:shd w:val="clear" w:color="auto" w:fill="FFFFFF"/>
              </w:rPr>
              <w:t>网贷行业的认识以及多年从事P2P网贷行业的经验，推出多种咨询培训课程，旨在揭开P2P网贷行业的神秘面纱，指导快速掌握网贷行业的专业知识，引领深入探索P2P网络借贷的未来，树立品牌形象，更好的为投资人服务。</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10</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广东新佳联投资管理有限公司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shd w:val="clear" w:color="auto" w:fill="FFFFFF"/>
              </w:rPr>
              <w:t>广东新佳联投资管理有限公司旗下网站新联在线（以下描述简称新联在线），是由来自新加坡和中国的金融及互联网专业团队成立的全球化互联网理财平台，总部设于中国广州，并在新加坡、台湾、柬埔寨地区设立分支机构 。新联在线通过将投资者的闲散资金与融资者的资金需求有效撮合，并与合作的金融机构联手把控风险，为各位投资者提供资金安全、回报稳定、信息透明的互联网理财服务。</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11</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广州亿达按揭服务有限公司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shd w:val="clear" w:color="auto" w:fill="FFFFFF"/>
              </w:rPr>
              <w:t>广州亿达按揭服务有限公司办公室地址位于中国的南大门羊城广州，环市东路３７１－３７５号广州世界贸易中心大厦南塔８０３室（邮编：510095）（行政区号：440102），于2003-07-28 在广州工商局注册成立，在公司发展壮大的14年里，我们始终为客户提供最好的产品、健全的售后服务，我公司主要经营為客户提供咨询服务（包括房屋按揭、汽车按揭、资产处理、资产抵押、项目投资），并代客办理上述相关的手续，代客户办理权属交易过户，房产登记等手续。</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12</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深圳前海房筹互联网金融服务股份有限公司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cs="Arial" w:hint="eastAsia"/>
                <w:color w:val="000000"/>
                <w:szCs w:val="21"/>
                <w:shd w:val="clear" w:color="auto" w:fill="FFFFFF"/>
              </w:rPr>
              <w:t>深圳前海房筹互联网金融服务股份有限公司（简称：房筹）创立于2015年1月，致力于打造全国首个大众房地产投资平台。房筹开创一体化的跨界运营新平台，融合房地产、互联网和金融；打造专业化的房地产众筹平台，以资产价值提升为核心运作目标；建设大众化房地产投资平台，降低门槛，普惠资产增值的成果；发展扁平化的资源整合平</w:t>
            </w:r>
            <w:r>
              <w:rPr>
                <w:rFonts w:ascii="宋体" w:hAnsi="宋体" w:cs="Arial" w:hint="eastAsia"/>
                <w:color w:val="000000"/>
                <w:szCs w:val="21"/>
                <w:shd w:val="clear" w:color="auto" w:fill="FFFFFF"/>
              </w:rPr>
              <w:lastRenderedPageBreak/>
              <w:t>台，解决物业的流动性差的难题，活化物业资产，激活民间资本。</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13</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广州广木信息科技有限公司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广州广木信息科技有限公司成立于2010年，注册资本金5000万元。是广州地区专注于婚庆行业的互联网企业。公司旗下网站是领航国内婚庆用品行业企业网络化发展的大型电子商务平台，是致力于婚庆用品及上下游产业提供专业商务服务的门户网站。</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14</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广东壹宝资产管理有限公司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kern w:val="0"/>
                <w:szCs w:val="21"/>
              </w:rPr>
            </w:pPr>
            <w:r>
              <w:rPr>
                <w:rFonts w:ascii="宋体" w:hAnsi="宋体" w:cs="Arial" w:hint="eastAsia"/>
                <w:color w:val="000000"/>
                <w:szCs w:val="21"/>
                <w:shd w:val="clear" w:color="auto" w:fill="FFFFFF"/>
              </w:rPr>
              <w:t>广东壹宝资产管理有限公司是一家构建互联网金融业务平台公司。位于广东省广州市cbd中心。公司致力于开拓互联网金融业务，旗下主要有互联网p2p金融平台-壹宝贷。“壹宝贷”通过风险控制、专业化团队、科学的管理制度帮助解决个人及中小微企业项目融资问题，并为社会个人投资者开拓安全、稳妥、高收益的便捷投资渠道。</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3-5</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网络推广（1）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15</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广东南方金融创新研究院</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kern w:val="0"/>
                <w:szCs w:val="21"/>
              </w:rPr>
            </w:pPr>
            <w:r>
              <w:rPr>
                <w:rFonts w:ascii="宋体" w:hAnsi="宋体" w:hint="eastAsia"/>
                <w:color w:val="000000"/>
                <w:szCs w:val="21"/>
              </w:rPr>
              <w:t>广东南方金融创新研究院经广东省民政厅批准，于2014年正式创立。研究院拥有一支由海内外高学历人才组成的研究团队，并邀请国内外知名专家学者组成专家委员会，积极与政府相关部门、企事业单位及相关机构合作，开展区域经济和金融发展研究、产业经济和金融园区发展规划、商贸流通策划和招商运营、投资经济咨询和项目策划、政策研究和专项课题研究等金融创新领域的相关研究与服务工作。</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16</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盛林国际金控集团有限公司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集团总资产逾20亿元，旗下拥有六家企业，业务广泛分布于国内及港澳地区。经过近十年发展，集团从单一担保业务逐渐拓展，不断进取，形成了以融资担保、互联网金融、征信服务、大数据分析、私募基金管理、证券投资、投行业务、信息技术开发与数据管理为业务核心的金融集团格局，建立了安全有效的风险管理体系，为3000多家中小企业及个人创业者提供了快速便捷的融资解决方案。</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10</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5</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17</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广东融通天下控股集团</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专业从事房产综合金融服务的机构，自有资金雄厚，主要集中在融资过桥贷款、房产纯抵押贷款、房产二次抵押贷款、融资方案服务、资产收购及管理等领域为一体的综合型金融服务平台，为满足中小微企业主及个人业主的短期资金周转需求提供专业、全面的借贷咨询、服</w:t>
            </w:r>
            <w:r>
              <w:rPr>
                <w:rFonts w:ascii="宋体" w:hAnsi="宋体" w:hint="eastAsia"/>
                <w:color w:val="000000"/>
                <w:szCs w:val="21"/>
              </w:rPr>
              <w:lastRenderedPageBreak/>
              <w:t>务和管理。</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18</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深圳市四海融通金融服务有限公司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kern w:val="0"/>
                <w:szCs w:val="21"/>
              </w:rPr>
            </w:pPr>
            <w:r>
              <w:rPr>
                <w:rFonts w:ascii="宋体" w:hAnsi="宋体" w:hint="eastAsia"/>
                <w:color w:val="000000"/>
                <w:szCs w:val="21"/>
                <w:shd w:val="clear" w:color="auto" w:fill="FFFFFF"/>
              </w:rPr>
              <w:t>四海融通自90年代开始从事房地产金融中介业务，通过与银行合作，为需要购房的个人提供银行融资渠道。经过10多年国内市场的突围与成长，四海融通已经从单一的房屋个人金融业务发展成为一家基于互联网为连接，集中小微企业融资、个人贷款及专业融资咨询等领域为一体的房产金融专业服务平台。</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5</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19</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合众普惠科技有限公司广州分公司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武汉小额信贷服务平台股份有限公司投资、经国家工商总局核准、注册资金5000万、总部设立在 北京的全国性以p2p为核心业务的普惠金融公司。</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客户经理</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20</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广东弘博信用管理服务有限公司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kern w:val="0"/>
                <w:szCs w:val="21"/>
              </w:rPr>
            </w:pPr>
            <w:r>
              <w:rPr>
                <w:rFonts w:ascii="宋体" w:hAnsi="宋体" w:hint="eastAsia"/>
                <w:color w:val="000000"/>
                <w:szCs w:val="21"/>
                <w:shd w:val="clear" w:color="auto" w:fill="FFFFFF"/>
              </w:rPr>
              <w:t>广东弘博信用管理服务有限公司（以下简称“弘博信用”）成立于2012年，是广州地区唯一经中国人民银行广州市分行认可的具备香港上市公司背景的评级机构，同时也是华南地区最具规模和品牌效应的新金融评级机构。</w:t>
            </w:r>
            <w:r>
              <w:rPr>
                <w:rFonts w:ascii="宋体" w:hAnsi="宋体" w:hint="eastAsia"/>
                <w:color w:val="000000"/>
                <w:kern w:val="0"/>
                <w:szCs w:val="21"/>
              </w:rPr>
              <w:t xml:space="preserve">　</w:t>
            </w:r>
            <w:r>
              <w:rPr>
                <w:rFonts w:ascii="宋体" w:hAnsi="宋体" w:hint="eastAsia"/>
                <w:color w:val="000000"/>
                <w:szCs w:val="21"/>
                <w:shd w:val="clear" w:color="auto" w:fill="FFFFFF"/>
              </w:rPr>
              <w:t> 弘博信用专注于新金融评级研究与产品研发，用心打造民间金融评级、互联网金融评级、社会信用体系评级、商业评级以及监管评级等多元化服务体系，为政府部门、商业银行及其它机构提供有价值的信用评级报告。</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10</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21</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广州市及时予金融服务有限公司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kern w:val="0"/>
                <w:szCs w:val="21"/>
              </w:rPr>
            </w:pPr>
            <w:r>
              <w:rPr>
                <w:rFonts w:ascii="宋体" w:hAnsi="宋体" w:hint="eastAsia"/>
                <w:color w:val="000000"/>
                <w:szCs w:val="21"/>
                <w:shd w:val="clear" w:color="auto" w:fill="FFFFFF"/>
              </w:rPr>
              <w:t>予财网隶属于广州市及时予金融服务有限公司，于2014年9月28日正式上线，实缴注册资金3000万，是一家为小微企业提供金融服务的专业机构，公司总部座落于广州民间金融街互联网金融基地。</w:t>
            </w:r>
            <w:r>
              <w:rPr>
                <w:rFonts w:ascii="宋体" w:hAnsi="宋体" w:hint="eastAsia"/>
                <w:color w:val="000000"/>
                <w:kern w:val="0"/>
                <w:szCs w:val="21"/>
              </w:rPr>
              <w:t xml:space="preserve">　</w:t>
            </w:r>
            <w:r>
              <w:rPr>
                <w:rFonts w:ascii="宋体" w:hAnsi="宋体" w:hint="eastAsia"/>
                <w:color w:val="000000"/>
                <w:szCs w:val="21"/>
                <w:shd w:val="clear" w:color="auto" w:fill="FFFFFF"/>
              </w:rPr>
              <w:t>经过逐步的探索与发展，予财网形成了以供应链金融为核心的链予财、票予财系列，以银行承兑汇票为特色的类银行理财产品，以及针对融资会员中企业主或员工的车予财、房予财系列，相辅相成构建服务对象清晰多样化的理财产品群，满足投资会员在资产管理过程中根据自身的风险承受能力和偏好，快速组建资产组合，实现财富保值增值。</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20</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5</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22</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广东小金瓜互联网金融信息服务有限公司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kern w:val="0"/>
                <w:szCs w:val="21"/>
              </w:rPr>
            </w:pPr>
            <w:r>
              <w:rPr>
                <w:rFonts w:ascii="宋体" w:hAnsi="宋体" w:hint="eastAsia"/>
                <w:color w:val="000000"/>
                <w:kern w:val="0"/>
                <w:szCs w:val="21"/>
              </w:rPr>
              <w:t>广东小金瓜互联网金融信息服务有限公司成立于2015年10月19日，注册资本3000万元。小金瓜公司是隶属于实缴注册资本5000万元的</w:t>
            </w:r>
            <w:r>
              <w:rPr>
                <w:rFonts w:ascii="宋体" w:hAnsi="宋体" w:hint="eastAsia"/>
                <w:color w:val="000000"/>
                <w:kern w:val="0"/>
                <w:szCs w:val="21"/>
              </w:rPr>
              <w:lastRenderedPageBreak/>
              <w:t>快悦投资控股集团有限公司的旗下全资子公司。小金瓜公司是一个新型的网络借贷信息中介服务平台，截止2017年1月10日，小金瓜理财网平台总交易额已超过5亿元，用户数达61120人。</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20</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4</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23</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广州森宝互联网金融信息服务有限公司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东方犹太”是广州森宝互联网金融信息服务有限公司鼎力打造的互联网金融服务平台，是一家致力于为广大有融资需求中小微企业及投资人提供在线投融资咨询及互联网金融服务平台。“东方犹太”凝聚了一支专业的金融、市场、技术、法务团队，凭借多年丰富的民间金融借贷经验，秉持互联网普惠金融的梦想和开拓创新的精神，并以坚实的股东实力为基础和健全的风险管控体系为依托，以合法合规的投融资项目为标的，为有融资需求的中小微企业及广大投资人提供透明、安全、高效的投融资咨询服务。</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8</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24</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广州银承派互联网金融信息服务有限公司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kern w:val="0"/>
                <w:szCs w:val="21"/>
              </w:rPr>
            </w:pPr>
            <w:r>
              <w:rPr>
                <w:rFonts w:ascii="宋体" w:hAnsi="宋体" w:cs="Arial" w:hint="eastAsia"/>
                <w:color w:val="000000"/>
                <w:szCs w:val="21"/>
                <w:shd w:val="clear" w:color="auto" w:fill="FFFFFF"/>
              </w:rPr>
              <w:t>广州银承派互联网金融信息服务有限公司于2014年11月27日在广州中小微企业金融服务区注册成立，是以银行承兑汇票为主打资产的互联网投融资平台。银承派专注于银行承兑汇票交易和理财、消费金融等P2B(即person-to-business)的互联网投融资平台，其中B代表企业。银承派，以“票据”资产为纽带，一端为企业解决融资渠道，一端为普通投资人提供安全低风险的投资产品，平台只搭建金融资产和投资人之间的桥梁，实现安全、便捷、共赢的投融资平台。</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10</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25</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广州贷投乐互联网金融信息服务有限公司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kern w:val="0"/>
                <w:szCs w:val="21"/>
              </w:rPr>
            </w:pPr>
            <w:r>
              <w:rPr>
                <w:rFonts w:ascii="宋体" w:hAnsi="宋体" w:hint="eastAsia"/>
                <w:color w:val="000000"/>
                <w:szCs w:val="21"/>
                <w:shd w:val="clear" w:color="auto" w:fill="FFFFFF"/>
              </w:rPr>
              <w:t>广州贷投乐互联网金融信息服务有限公司是一个围绕广州本土产业特色，致力于打造“互联网+供应链金融+时尚制造业+大数据风控”的投资理财平台。</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8</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4</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26</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广州一点钱投资咨询有限公司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公司开创以用户体验为核心的全新金融商业模式：以互联网大数据为基础，通过严谨、专业的风控规范和流程，快速、高效地解决中小企业、个体工商户融资难问题。</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20</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4</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27</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广东银盘资产管理有限公司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总部位于广东省佛山市，集团旗下涉及银盘金服资产管理、融资租赁、商业保理、信息科技等金融板块，是国内首批从事金融信息技术外包、</w:t>
            </w:r>
            <w:r>
              <w:rPr>
                <w:rFonts w:ascii="宋体" w:hAnsi="宋体" w:hint="eastAsia"/>
                <w:color w:val="000000"/>
                <w:szCs w:val="21"/>
              </w:rPr>
              <w:lastRenderedPageBreak/>
              <w:t>金融业务流程外包、资产管理为一体的第三方汽车金融服务机构。</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30</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28</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广东乐数信息科技有限公司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于2015年01月27日在广州市工商行政管理局登记成立。法定代表人汤沁，公司经营范围包括软件服务;企业管理咨询服务;科技信息咨询服务等。</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29</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广州安易达互联网小额贷款有限公司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rPr>
              <w:t>国内首家基因检测上市公司中山大学达安基因股份有限公司（002030），发起成立的广州安易达互联网小额贷款有限公司，专注于大健康领域，并全力支持达安基因成员企业及上下游产业链的发展，为其提供融资授信额度和信贷支持等服务。</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30</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北京市中伦文德（广州）律师事务所</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shd w:val="clear" w:color="auto" w:fill="FFFFFF"/>
              </w:rPr>
            </w:pPr>
            <w:r>
              <w:rPr>
                <w:rFonts w:ascii="宋体" w:hAnsi="宋体" w:hint="eastAsia"/>
                <w:bCs/>
                <w:color w:val="000000"/>
                <w:szCs w:val="21"/>
              </w:rPr>
              <w:t>北京中伦文德律师事务所是中国一家著名的大型综合性律师事务所，创立于1992年，总部设于北京。中伦文德律师事务所于2012年5月29日经广东省司法厅批准在广东省广州市设立了北京市中伦文德(广州)律师事务所(以下简称“广州所”)。位于与广州市CBD珠江新城一路之隔的五羊新城的珠江宾馆内，广州所现有合伙人四名，专职律师近20名，大都毕业于北京大学、中国人民大学、中山大学、中国政法大学等名牌大学的法学院，我们以其精深广博的专业知识、扎实的业务能力、丰富的执业经验、广泛的社会联系，为客户提供了高质量的法律服务。</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31</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广州市均炯企业管理有限公司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shd w:val="clear" w:color="auto" w:fill="FFFFFF"/>
              </w:rPr>
            </w:pPr>
            <w:r>
              <w:rPr>
                <w:rFonts w:ascii="宋体" w:hAnsi="宋体" w:cs="仿宋_GB2312" w:hint="eastAsia"/>
                <w:color w:val="000000"/>
                <w:szCs w:val="21"/>
                <w:lang w:bidi="ar"/>
              </w:rPr>
              <w:t>广州市均炯企业管理有限公司（以下简称：开心金融）成立于2016年12月28日，注册资本300万元人民币，“开心金融”平台致力于运用互联网移动社交平台工具为行业各业务伙伴提供快捷及全方位的金融产品营销管理服务。专业提供汽车类、房屋类、信用类等贷款产品端口，为各合作伙伴解决报单、跟单、结算等烦恼。</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2058"/>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32</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广州礼德互联网金融信息服务有限公司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shd w:val="clear" w:color="auto" w:fill="FFFFFF"/>
              </w:rPr>
            </w:pPr>
            <w:r>
              <w:rPr>
                <w:rFonts w:ascii="宋体" w:hAnsi="宋体" w:cs="Arial" w:hint="eastAsia"/>
                <w:color w:val="000000"/>
                <w:szCs w:val="21"/>
                <w:shd w:val="clear" w:color="auto" w:fill="FFFFFF"/>
              </w:rPr>
              <w:t>广州礼德互联网金融信息服务有限公司是一个致力于为投资人提供专业透明、安全稳健、高收益低门槛的互联网理财服务的公司。通过礼德财富平台的推荐，您可以将手中的富余资金，出借给由有代偿能力的第三方机构担保的、信用良好的小微企业，并获得利息回报。与第三方支付公司合作，实现了第三方资金托管，从根本上保障投资人的资金安全。</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33</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D0D0D"/>
                <w:sz w:val="24"/>
                <w:szCs w:val="24"/>
              </w:rPr>
            </w:pPr>
            <w:r>
              <w:rPr>
                <w:rFonts w:ascii="宋体" w:hAnsi="宋体" w:hint="eastAsia"/>
                <w:color w:val="0D0D0D"/>
                <w:sz w:val="24"/>
                <w:szCs w:val="24"/>
              </w:rPr>
              <w:t>广州利溯企业管理服务有限公司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hint="eastAsia"/>
                <w:color w:val="000000"/>
                <w:szCs w:val="21"/>
                <w:shd w:val="clear" w:color="auto" w:fill="FFFFFF"/>
              </w:rPr>
              <w:t>广州利溯企业管理服务有限公司是各大商业银行的业务渠道供应商，主营业务是向银行推荐符合贷款资质的优质客户</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4</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34</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毕马威华振会计师事务所广州分所</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kern w:val="0"/>
                <w:szCs w:val="21"/>
              </w:rPr>
            </w:pPr>
            <w:r>
              <w:rPr>
                <w:rFonts w:ascii="宋体" w:hAnsi="宋体" w:hint="eastAsia"/>
                <w:color w:val="000000"/>
                <w:szCs w:val="21"/>
                <w:shd w:val="clear" w:color="auto" w:fill="FFFFFF"/>
              </w:rPr>
              <w:t>毕马威华振会计师事务所广州分所，办公室地址位于中国的南大门羊城广州，环市东路403号广州国际电子大厦2903室（邮编：510095）（行政区号：440102），，于2002-07-31 在广州挂牌成立，，单位迄今已经为客户提供了15年优质的服务，主要经营提供会计、审计、财务、税务方面和查帐、验资、清算、可行性研究评估、资产评估、账务处理、财务分析。</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6</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35</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广州中青金服互联网金融信息服务有限公司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s="Arial"/>
                <w:color w:val="000000"/>
                <w:szCs w:val="21"/>
              </w:rPr>
            </w:pPr>
            <w:r>
              <w:rPr>
                <w:rFonts w:ascii="宋体" w:hAnsi="宋体" w:cs="Arial" w:hint="eastAsia"/>
                <w:color w:val="000000"/>
                <w:szCs w:val="21"/>
              </w:rPr>
              <w:t>中青金服成立于2015年，总部设在广州。自成立以来，坚持以金融创新产品为优势、全方位风险控制为保障，为普罗大众提供安全、透明、创新、增值的金融产品和财富管理服务。目前已在广州、佛山、顺德、东莞、中山建立起完善的服务网络，通过创新的普惠金融模式，为客户提供全方位、个性化的财富管理和互联网金融服务。</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36</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上海安美途金融信息服务有限公司广州分公司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s="Arial"/>
                <w:color w:val="000000"/>
                <w:kern w:val="0"/>
                <w:szCs w:val="21"/>
              </w:rPr>
            </w:pPr>
            <w:r>
              <w:rPr>
                <w:rFonts w:ascii="宋体" w:hAnsi="宋体" w:cs="Arial" w:hint="eastAsia"/>
                <w:color w:val="000000"/>
                <w:kern w:val="0"/>
                <w:szCs w:val="21"/>
              </w:rPr>
              <w:t>安美途-聚大车贷成立于2015年，总部位于上海，是由安美途打造的二手车全抵押全产品金融服务平台。</w:t>
            </w:r>
          </w:p>
          <w:p w:rsidR="0038400D" w:rsidRDefault="0038400D" w:rsidP="005226D2">
            <w:pPr>
              <w:pStyle w:val="a7"/>
              <w:jc w:val="center"/>
              <w:rPr>
                <w:rFonts w:ascii="宋体" w:hAnsi="宋体" w:cs="Arial"/>
                <w:color w:val="000000"/>
                <w:kern w:val="0"/>
                <w:szCs w:val="21"/>
              </w:rPr>
            </w:pPr>
            <w:r>
              <w:rPr>
                <w:rFonts w:ascii="宋体" w:hAnsi="宋体" w:cs="Arial" w:hint="eastAsia"/>
                <w:color w:val="000000"/>
                <w:kern w:val="0"/>
                <w:szCs w:val="21"/>
              </w:rPr>
              <w:t>安美途-聚大车贷为短期内需要资金周转或融资的车主提供一个便利的融资渠道--以自有车辆的所有权为抵押来获得贷款，安美途公司超过8年的二手车运营与风险控制经验，为聚大车贷平台这一优质资产体系的搭建与运转提供了前提与保障条件</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lastRenderedPageBreak/>
              <w:t>37</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广州帝隆科技股份有限公司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olor w:val="000000"/>
                <w:szCs w:val="21"/>
              </w:rPr>
            </w:pPr>
            <w:r>
              <w:rPr>
                <w:rFonts w:ascii="宋体" w:hAnsi="宋体" w:cs="Arial" w:hint="eastAsia"/>
                <w:color w:val="000000"/>
                <w:szCs w:val="21"/>
                <w:shd w:val="clear" w:color="auto" w:fill="FFFFFF"/>
              </w:rPr>
              <w:t>广州帝隆科技股份有限公司成立于2006年，是广东省认证双软企业，广东省高新技术企业。成立十年来，帝隆科技一直专注于金融行业信息化服务，在微金融、互联网金融领域建立了全面的产业链系统方案，并发展成为国内专业的互联网金融IT解决方案和服务供应商。</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4</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1705"/>
        </w:trPr>
        <w:tc>
          <w:tcPr>
            <w:tcW w:w="993" w:type="dxa"/>
            <w:tcBorders>
              <w:top w:val="nil"/>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38</w:t>
            </w:r>
          </w:p>
        </w:tc>
        <w:tc>
          <w:tcPr>
            <w:tcW w:w="453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广州市优车贷商务服务有限公司</w:t>
            </w:r>
          </w:p>
        </w:tc>
        <w:tc>
          <w:tcPr>
            <w:tcW w:w="6520"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s="Arial"/>
                <w:color w:val="000000"/>
                <w:kern w:val="0"/>
                <w:szCs w:val="21"/>
              </w:rPr>
            </w:pPr>
            <w:r>
              <w:rPr>
                <w:rFonts w:ascii="宋体" w:hAnsi="宋体" w:cs="Arial" w:hint="eastAsia"/>
                <w:color w:val="000000"/>
                <w:kern w:val="0"/>
                <w:szCs w:val="21"/>
              </w:rPr>
              <w:t>广州市优车代商务服务有限公司（简称优车贷）是融盛资本集团旗下专业从事互联网汽车金融的企业。总部位于广州金融CBD——珠江新城。广州市优车代商务服务有限公司的产品是“优车贷”，专为私家车主提供抵押、质押借款等金融居间服务，为客户提供全方位的融资解决方案。</w:t>
            </w:r>
          </w:p>
        </w:tc>
        <w:tc>
          <w:tcPr>
            <w:tcW w:w="1276"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c>
          <w:tcPr>
            <w:tcW w:w="1559" w:type="dxa"/>
            <w:tcBorders>
              <w:top w:val="nil"/>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439"/>
        </w:trPr>
        <w:tc>
          <w:tcPr>
            <w:tcW w:w="993" w:type="dxa"/>
            <w:tcBorders>
              <w:top w:val="single" w:sz="4" w:space="0" w:color="auto"/>
              <w:left w:val="single" w:sz="4" w:space="0" w:color="auto"/>
              <w:bottom w:val="nil"/>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39</w:t>
            </w:r>
          </w:p>
        </w:tc>
        <w:tc>
          <w:tcPr>
            <w:tcW w:w="4536" w:type="dxa"/>
            <w:tcBorders>
              <w:top w:val="single" w:sz="4" w:space="0" w:color="auto"/>
              <w:left w:val="nil"/>
              <w:bottom w:val="nil"/>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广州市中凡投资有限公司</w:t>
            </w:r>
          </w:p>
        </w:tc>
        <w:tc>
          <w:tcPr>
            <w:tcW w:w="6520" w:type="dxa"/>
            <w:tcBorders>
              <w:top w:val="single" w:sz="4" w:space="0" w:color="auto"/>
              <w:left w:val="nil"/>
              <w:bottom w:val="nil"/>
              <w:right w:val="single" w:sz="4" w:space="0" w:color="auto"/>
            </w:tcBorders>
            <w:noWrap/>
            <w:vAlign w:val="center"/>
            <w:hideMark/>
          </w:tcPr>
          <w:p w:rsidR="0038400D" w:rsidRDefault="0038400D" w:rsidP="005226D2">
            <w:pPr>
              <w:pStyle w:val="a7"/>
              <w:jc w:val="center"/>
              <w:rPr>
                <w:rFonts w:ascii="宋体" w:hAnsi="宋体" w:cs="Arial"/>
                <w:color w:val="000000"/>
                <w:kern w:val="0"/>
                <w:szCs w:val="21"/>
              </w:rPr>
            </w:pPr>
            <w:r>
              <w:rPr>
                <w:rFonts w:ascii="宋体" w:hAnsi="宋体" w:hint="eastAsia"/>
                <w:color w:val="000000"/>
                <w:szCs w:val="21"/>
              </w:rPr>
              <w:t>广州市中凡投资有限公司位于</w:t>
            </w:r>
            <w:r>
              <w:rPr>
                <w:rFonts w:ascii="宋体" w:hAnsi="宋体" w:hint="eastAsia"/>
                <w:color w:val="000000"/>
                <w:szCs w:val="21"/>
                <w:shd w:val="clear" w:color="auto" w:fill="FFFFFF"/>
              </w:rPr>
              <w:t>广东省广州市越秀区沿江中路313号1703室，</w:t>
            </w:r>
            <w:r>
              <w:rPr>
                <w:rFonts w:ascii="宋体" w:hAnsi="宋体" w:cs="Arial" w:hint="eastAsia"/>
                <w:color w:val="000000"/>
                <w:kern w:val="0"/>
                <w:szCs w:val="21"/>
              </w:rPr>
              <w:t>是以互联网方式提供个人金融服务的创新型企业。</w:t>
            </w:r>
          </w:p>
        </w:tc>
        <w:tc>
          <w:tcPr>
            <w:tcW w:w="1276" w:type="dxa"/>
            <w:tcBorders>
              <w:top w:val="single" w:sz="4" w:space="0" w:color="auto"/>
              <w:left w:val="nil"/>
              <w:bottom w:val="nil"/>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c>
          <w:tcPr>
            <w:tcW w:w="1559" w:type="dxa"/>
            <w:tcBorders>
              <w:top w:val="single" w:sz="4" w:space="0" w:color="auto"/>
              <w:left w:val="nil"/>
              <w:bottom w:val="nil"/>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r w:rsidR="0038400D" w:rsidTr="005226D2">
        <w:trPr>
          <w:trHeight w:val="77"/>
        </w:trPr>
        <w:tc>
          <w:tcPr>
            <w:tcW w:w="993" w:type="dxa"/>
            <w:tcBorders>
              <w:top w:val="single" w:sz="4" w:space="0" w:color="auto"/>
              <w:left w:val="single" w:sz="4" w:space="0" w:color="auto"/>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40</w:t>
            </w:r>
          </w:p>
        </w:tc>
        <w:tc>
          <w:tcPr>
            <w:tcW w:w="4536" w:type="dxa"/>
            <w:tcBorders>
              <w:top w:val="single" w:sz="4" w:space="0" w:color="auto"/>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sz w:val="24"/>
                <w:szCs w:val="24"/>
              </w:rPr>
            </w:pPr>
            <w:r>
              <w:rPr>
                <w:rFonts w:ascii="宋体" w:hAnsi="宋体" w:hint="eastAsia"/>
                <w:sz w:val="24"/>
                <w:szCs w:val="24"/>
              </w:rPr>
              <w:t>广州国米科技有限公司</w:t>
            </w:r>
          </w:p>
        </w:tc>
        <w:tc>
          <w:tcPr>
            <w:tcW w:w="6520" w:type="dxa"/>
            <w:tcBorders>
              <w:top w:val="single" w:sz="4" w:space="0" w:color="auto"/>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cs="Arial"/>
                <w:color w:val="000000"/>
                <w:szCs w:val="21"/>
                <w:shd w:val="clear" w:color="auto" w:fill="FFFFFF"/>
              </w:rPr>
            </w:pPr>
            <w:r>
              <w:rPr>
                <w:rFonts w:ascii="宋体" w:hAnsi="宋体" w:cs="Arial" w:hint="eastAsia"/>
                <w:color w:val="000000"/>
                <w:szCs w:val="21"/>
                <w:shd w:val="clear" w:color="auto" w:fill="FFFFFF"/>
              </w:rPr>
              <w:t>广州国米科技有限公司注册资金1000万。美名网是广州国米科技有限公司旗下网站之一，是一家迎合“互联网+”趋势的域名交易中介平台，主要为客户提供域名购买、域名中介担保和域名拍卖等服务。</w:t>
            </w:r>
          </w:p>
        </w:tc>
        <w:tc>
          <w:tcPr>
            <w:tcW w:w="1276" w:type="dxa"/>
            <w:tcBorders>
              <w:top w:val="single" w:sz="4" w:space="0" w:color="auto"/>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2</w:t>
            </w:r>
          </w:p>
        </w:tc>
        <w:tc>
          <w:tcPr>
            <w:tcW w:w="1559" w:type="dxa"/>
            <w:tcBorders>
              <w:top w:val="single" w:sz="4" w:space="0" w:color="auto"/>
              <w:left w:val="nil"/>
              <w:bottom w:val="single" w:sz="4" w:space="0" w:color="auto"/>
              <w:right w:val="single" w:sz="4" w:space="0" w:color="auto"/>
            </w:tcBorders>
            <w:noWrap/>
            <w:vAlign w:val="center"/>
            <w:hideMark/>
          </w:tcPr>
          <w:p w:rsidR="0038400D" w:rsidRDefault="0038400D" w:rsidP="005226D2">
            <w:pPr>
              <w:pStyle w:val="a7"/>
              <w:jc w:val="center"/>
              <w:rPr>
                <w:rFonts w:ascii="宋体" w:hAnsi="宋体"/>
                <w:kern w:val="0"/>
                <w:sz w:val="24"/>
                <w:szCs w:val="24"/>
              </w:rPr>
            </w:pPr>
            <w:r>
              <w:rPr>
                <w:rFonts w:ascii="宋体" w:hAnsi="宋体" w:hint="eastAsia"/>
                <w:kern w:val="0"/>
                <w:sz w:val="24"/>
                <w:szCs w:val="24"/>
              </w:rPr>
              <w:t>1</w:t>
            </w:r>
          </w:p>
        </w:tc>
      </w:tr>
    </w:tbl>
    <w:p w:rsidR="00EA6C0A" w:rsidRDefault="00EA6C0A">
      <w:bookmarkStart w:id="0" w:name="_GoBack"/>
      <w:bookmarkEnd w:id="0"/>
    </w:p>
    <w:sectPr w:rsidR="00EA6C0A" w:rsidSect="0038400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54" w:rsidRDefault="002C4F54" w:rsidP="0038400D">
      <w:r>
        <w:separator/>
      </w:r>
    </w:p>
  </w:endnote>
  <w:endnote w:type="continuationSeparator" w:id="0">
    <w:p w:rsidR="002C4F54" w:rsidRDefault="002C4F54" w:rsidP="0038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panose1 w:val="020B0503020204020204"/>
    <w:charset w:val="86"/>
    <w:family w:val="swiss"/>
    <w:pitch w:val="variable"/>
    <w:sig w:usb0="80000287" w:usb1="28CF3C50" w:usb2="00000016" w:usb3="00000000" w:csb0="0004001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54" w:rsidRDefault="002C4F54" w:rsidP="0038400D">
      <w:r>
        <w:separator/>
      </w:r>
    </w:p>
  </w:footnote>
  <w:footnote w:type="continuationSeparator" w:id="0">
    <w:p w:rsidR="002C4F54" w:rsidRDefault="002C4F54" w:rsidP="00384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13"/>
    <w:rsid w:val="002C4F54"/>
    <w:rsid w:val="0038400D"/>
    <w:rsid w:val="00846D0D"/>
    <w:rsid w:val="008E2825"/>
    <w:rsid w:val="00EA6C0A"/>
    <w:rsid w:val="00F15713"/>
    <w:rsid w:val="00F86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0D"/>
    <w:pPr>
      <w:widowControl w:val="0"/>
      <w:jc w:val="both"/>
    </w:pPr>
    <w:rPr>
      <w:rFonts w:ascii="Calibri" w:eastAsia="宋体" w:hAnsi="Calibri" w:cs="Times New Roman"/>
      <w:szCs w:val="22"/>
    </w:rPr>
  </w:style>
  <w:style w:type="paragraph" w:styleId="1">
    <w:name w:val="heading 1"/>
    <w:basedOn w:val="a"/>
    <w:next w:val="a"/>
    <w:link w:val="1Char"/>
    <w:uiPriority w:val="9"/>
    <w:qFormat/>
    <w:rsid w:val="00846D0D"/>
    <w:pPr>
      <w:keepNext/>
      <w:keepLines/>
      <w:spacing w:before="340" w:after="330" w:line="578" w:lineRule="auto"/>
      <w:outlineLvl w:val="0"/>
    </w:pPr>
    <w:rPr>
      <w:rFonts w:asciiTheme="minorHAnsi" w:eastAsia="黑体" w:hAnsiTheme="minorHAnsi"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报告标题1"/>
    <w:basedOn w:val="a"/>
    <w:next w:val="a"/>
    <w:qFormat/>
    <w:rsid w:val="00F86C76"/>
    <w:pPr>
      <w:widowControl/>
      <w:spacing w:after="180" w:line="336" w:lineRule="auto"/>
    </w:pPr>
    <w:rPr>
      <w:rFonts w:ascii="Microsoft YaHei UI" w:eastAsia="Microsoft YaHei UI" w:hAnsi="Microsoft YaHei UI" w:cstheme="minorBidi"/>
      <w:color w:val="404040" w:themeColor="text1" w:themeTint="BF"/>
      <w:kern w:val="0"/>
      <w:sz w:val="16"/>
      <w:szCs w:val="16"/>
    </w:rPr>
  </w:style>
  <w:style w:type="character" w:customStyle="1" w:styleId="1Char">
    <w:name w:val="标题 1 Char"/>
    <w:basedOn w:val="a0"/>
    <w:link w:val="1"/>
    <w:uiPriority w:val="9"/>
    <w:rsid w:val="00846D0D"/>
    <w:rPr>
      <w:rFonts w:eastAsia="黑体"/>
      <w:b/>
      <w:bCs/>
      <w:kern w:val="44"/>
      <w:sz w:val="32"/>
      <w:szCs w:val="44"/>
    </w:rPr>
  </w:style>
  <w:style w:type="paragraph" w:styleId="a3">
    <w:name w:val="header"/>
    <w:basedOn w:val="a"/>
    <w:link w:val="Char"/>
    <w:uiPriority w:val="99"/>
    <w:unhideWhenUsed/>
    <w:rsid w:val="00846D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6D0D"/>
    <w:rPr>
      <w:sz w:val="18"/>
      <w:szCs w:val="18"/>
    </w:rPr>
  </w:style>
  <w:style w:type="paragraph" w:styleId="a4">
    <w:name w:val="footer"/>
    <w:basedOn w:val="a"/>
    <w:link w:val="Char0"/>
    <w:uiPriority w:val="99"/>
    <w:unhideWhenUsed/>
    <w:rsid w:val="00846D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6D0D"/>
    <w:rPr>
      <w:sz w:val="18"/>
      <w:szCs w:val="18"/>
    </w:rPr>
  </w:style>
  <w:style w:type="paragraph" w:styleId="a5">
    <w:name w:val="List Paragraph"/>
    <w:basedOn w:val="a"/>
    <w:uiPriority w:val="34"/>
    <w:qFormat/>
    <w:rsid w:val="0038400D"/>
    <w:pPr>
      <w:ind w:firstLineChars="200" w:firstLine="420"/>
    </w:pPr>
  </w:style>
  <w:style w:type="character" w:styleId="a6">
    <w:name w:val="Hyperlink"/>
    <w:uiPriority w:val="99"/>
    <w:semiHidden/>
    <w:unhideWhenUsed/>
    <w:rsid w:val="0038400D"/>
    <w:rPr>
      <w:color w:val="0000FF"/>
      <w:u w:val="single"/>
    </w:rPr>
  </w:style>
  <w:style w:type="paragraph" w:styleId="a7">
    <w:name w:val="No Spacing"/>
    <w:uiPriority w:val="1"/>
    <w:qFormat/>
    <w:rsid w:val="0038400D"/>
    <w:pPr>
      <w:widowControl w:val="0"/>
      <w:jc w:val="both"/>
    </w:pPr>
    <w:rPr>
      <w:rFonts w:ascii="Calibri" w:eastAsia="宋体"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0D"/>
    <w:pPr>
      <w:widowControl w:val="0"/>
      <w:jc w:val="both"/>
    </w:pPr>
    <w:rPr>
      <w:rFonts w:ascii="Calibri" w:eastAsia="宋体" w:hAnsi="Calibri" w:cs="Times New Roman"/>
      <w:szCs w:val="22"/>
    </w:rPr>
  </w:style>
  <w:style w:type="paragraph" w:styleId="1">
    <w:name w:val="heading 1"/>
    <w:basedOn w:val="a"/>
    <w:next w:val="a"/>
    <w:link w:val="1Char"/>
    <w:uiPriority w:val="9"/>
    <w:qFormat/>
    <w:rsid w:val="00846D0D"/>
    <w:pPr>
      <w:keepNext/>
      <w:keepLines/>
      <w:spacing w:before="340" w:after="330" w:line="578" w:lineRule="auto"/>
      <w:outlineLvl w:val="0"/>
    </w:pPr>
    <w:rPr>
      <w:rFonts w:asciiTheme="minorHAnsi" w:eastAsia="黑体" w:hAnsiTheme="minorHAnsi"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报告标题1"/>
    <w:basedOn w:val="a"/>
    <w:next w:val="a"/>
    <w:qFormat/>
    <w:rsid w:val="00F86C76"/>
    <w:pPr>
      <w:widowControl/>
      <w:spacing w:after="180" w:line="336" w:lineRule="auto"/>
    </w:pPr>
    <w:rPr>
      <w:rFonts w:ascii="Microsoft YaHei UI" w:eastAsia="Microsoft YaHei UI" w:hAnsi="Microsoft YaHei UI" w:cstheme="minorBidi"/>
      <w:color w:val="404040" w:themeColor="text1" w:themeTint="BF"/>
      <w:kern w:val="0"/>
      <w:sz w:val="16"/>
      <w:szCs w:val="16"/>
    </w:rPr>
  </w:style>
  <w:style w:type="character" w:customStyle="1" w:styleId="1Char">
    <w:name w:val="标题 1 Char"/>
    <w:basedOn w:val="a0"/>
    <w:link w:val="1"/>
    <w:uiPriority w:val="9"/>
    <w:rsid w:val="00846D0D"/>
    <w:rPr>
      <w:rFonts w:eastAsia="黑体"/>
      <w:b/>
      <w:bCs/>
      <w:kern w:val="44"/>
      <w:sz w:val="32"/>
      <w:szCs w:val="44"/>
    </w:rPr>
  </w:style>
  <w:style w:type="paragraph" w:styleId="a3">
    <w:name w:val="header"/>
    <w:basedOn w:val="a"/>
    <w:link w:val="Char"/>
    <w:uiPriority w:val="99"/>
    <w:unhideWhenUsed/>
    <w:rsid w:val="00846D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6D0D"/>
    <w:rPr>
      <w:sz w:val="18"/>
      <w:szCs w:val="18"/>
    </w:rPr>
  </w:style>
  <w:style w:type="paragraph" w:styleId="a4">
    <w:name w:val="footer"/>
    <w:basedOn w:val="a"/>
    <w:link w:val="Char0"/>
    <w:uiPriority w:val="99"/>
    <w:unhideWhenUsed/>
    <w:rsid w:val="00846D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6D0D"/>
    <w:rPr>
      <w:sz w:val="18"/>
      <w:szCs w:val="18"/>
    </w:rPr>
  </w:style>
  <w:style w:type="paragraph" w:styleId="a5">
    <w:name w:val="List Paragraph"/>
    <w:basedOn w:val="a"/>
    <w:uiPriority w:val="34"/>
    <w:qFormat/>
    <w:rsid w:val="0038400D"/>
    <w:pPr>
      <w:ind w:firstLineChars="200" w:firstLine="420"/>
    </w:pPr>
  </w:style>
  <w:style w:type="character" w:styleId="a6">
    <w:name w:val="Hyperlink"/>
    <w:uiPriority w:val="99"/>
    <w:semiHidden/>
    <w:unhideWhenUsed/>
    <w:rsid w:val="0038400D"/>
    <w:rPr>
      <w:color w:val="0000FF"/>
      <w:u w:val="single"/>
    </w:rPr>
  </w:style>
  <w:style w:type="paragraph" w:styleId="a7">
    <w:name w:val="No Spacing"/>
    <w:uiPriority w:val="1"/>
    <w:qFormat/>
    <w:rsid w:val="0038400D"/>
    <w:pPr>
      <w:widowControl w:val="0"/>
      <w:jc w:val="both"/>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item/P2P/1398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zjq1995</dc:creator>
  <cp:keywords/>
  <dc:description/>
  <cp:lastModifiedBy>zjq1995</cp:lastModifiedBy>
  <cp:revision>3</cp:revision>
  <dcterms:created xsi:type="dcterms:W3CDTF">2017-04-23T09:16:00Z</dcterms:created>
  <dcterms:modified xsi:type="dcterms:W3CDTF">2017-04-23T09:17:00Z</dcterms:modified>
</cp:coreProperties>
</file>